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E" w:rsidRPr="00EA6C9E" w:rsidRDefault="00EA6C9E" w:rsidP="00EA6C9E">
      <w:pPr>
        <w:spacing w:after="0" w:line="82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12121"/>
          <w:spacing w:val="-5"/>
          <w:kern w:val="36"/>
          <w:sz w:val="68"/>
          <w:szCs w:val="68"/>
        </w:rPr>
      </w:pPr>
      <w:r w:rsidRPr="00EA6C9E">
        <w:rPr>
          <w:rFonts w:ascii="Arial" w:eastAsia="Times New Roman" w:hAnsi="Arial" w:cs="Arial"/>
          <w:b/>
          <w:bCs/>
          <w:caps/>
          <w:color w:val="212121"/>
          <w:spacing w:val="-5"/>
          <w:kern w:val="36"/>
          <w:sz w:val="68"/>
          <w:szCs w:val="68"/>
        </w:rPr>
        <w:t>ПАМЯТКА ДЛЯ ЗАКАЗЧИКА ТОВАРНОГО БЕТОНА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     </w:t>
      </w: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Товарный бетон - это </w:t>
      </w:r>
      <w:proofErr w:type="spell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поликомпонентная</w:t>
      </w:r>
      <w:proofErr w:type="spell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система и она подвержена определенного типа деформациям. Собственные усадочные деформации бетона обусловлены влажностными, температурными и вибрационно-уплотняющими воздействиями.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Твердение бетона сопровождается контракционной и </w:t>
      </w:r>
      <w:proofErr w:type="gram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влажностной</w:t>
      </w:r>
      <w:proofErr w:type="gram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усадками.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Первичная или пластическая усадка бетона происходит во время </w:t>
      </w:r>
      <w:proofErr w:type="gram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выделении</w:t>
      </w:r>
      <w:proofErr w:type="gram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воды из бетонной смеси в результате </w:t>
      </w:r>
      <w:proofErr w:type="spell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седиментационного</w:t>
      </w:r>
      <w:proofErr w:type="spell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осаждения твердых частиц, поглощения влаги опалубкой, основанием и испарениями. Коэффициент уплотнения для подвижных смесей (П3-П5 ГОСТ 7473-2010) – составляет 2-4%. Заказчику бетонной смеси следует учитывать данный показатель при расчете объемов бетонируемых конструкций, на основании методов уплотнения и технологических особенностей, утвержденной НТД (ГОСТ, </w:t>
      </w:r>
      <w:proofErr w:type="spell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СНиП</w:t>
      </w:r>
      <w:proofErr w:type="spell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, СП, ТК) и установленным ППР на каждом строительном объекте.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Усадочные же деформации, которые происходят в процессе химических реакций гидратации цемента и образования цементного камня меньше пластической (первичной) усадки в 5-10 раз, но ее параметры при расчетах объемов конструкций и количества бетонной смеси, следует учитывать при увеличении модуля поверхности конструкции или низкой степени армирования (</w:t>
      </w:r>
      <w:proofErr w:type="spell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СНиП</w:t>
      </w:r>
      <w:proofErr w:type="spell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52-01-2003). Для рядовых бетонов, не регламентируемых по коэффициенту линейной усадки – это параметр составляет 0,2 – 0,5 мм/м.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Еще одним немаловажным фактором, регламентируемым руководящим документом РДС 82-202-96 «ПРАВИЛА разработки и применения нормативов трудноустранимых потерь и отходов в строительстве» - являются потери.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Приводя некоторые выдержки из вышеуказанного документа, находящегося в общем доступе, можно объяснить важность учета естественных потерь при проектировании и расчете конструкций и объемов бетона в этих конструкциях.</w:t>
      </w:r>
    </w:p>
    <w:p w:rsidR="00EA6C9E" w:rsidRPr="00EA6C9E" w:rsidRDefault="00EA6C9E" w:rsidP="00EA6C9E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(4 общие положения)</w:t>
      </w:r>
    </w:p>
    <w:p w:rsidR="00EA6C9E" w:rsidRPr="00EA6C9E" w:rsidRDefault="00EA6C9E" w:rsidP="00EA6C9E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"…(4.1) Потери – это та часть материалов, которая не может быть использована в производстве затвердевшая в транспортных средствах бетонная смесь или раствор; схватившийся или </w:t>
      </w:r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lastRenderedPageBreak/>
        <w:t>теряемый в результате распыления цемента, осколки кирпича, мелких блоков и других стеновых материалов и т.п.</w:t>
      </w:r>
    </w:p>
    <w:p w:rsidR="00EA6C9E" w:rsidRPr="00EA6C9E" w:rsidRDefault="00EA6C9E" w:rsidP="00EA6C9E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Потери, образующиеся при соблюдении правил производства работ по </w:t>
      </w:r>
      <w:proofErr w:type="spellStart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СНиП</w:t>
      </w:r>
      <w:proofErr w:type="spellEnd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 при рациональном расходе материалов, относятся к </w:t>
      </w:r>
      <w:proofErr w:type="spellStart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трудноустранимым</w:t>
      </w:r>
      <w:proofErr w:type="spellEnd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 потерям.</w:t>
      </w:r>
    </w:p>
    <w:p w:rsidR="00EA6C9E" w:rsidRPr="00EA6C9E" w:rsidRDefault="00EA6C9E" w:rsidP="00EA6C9E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proofErr w:type="spellStart"/>
      <w:proofErr w:type="gramStart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Трудноустранимые</w:t>
      </w:r>
      <w:proofErr w:type="spellEnd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 потери и отходы сырья, материалов изделий и конструкций в строительстве и естественная убыль материалов при транспортировании – это количество материалов, которое не входит в массу продукции (бетонная и растворная смеси, изделия, конструкции и т. п.), возникающее неизбежно в процессе производства работ при соблюдении правил и использовании качественных материалов, необходимых машин и механизмов.</w:t>
      </w:r>
      <w:proofErr w:type="gramEnd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 </w:t>
      </w:r>
      <w:proofErr w:type="spellStart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Трудноустранимые</w:t>
      </w:r>
      <w:proofErr w:type="spellEnd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 xml:space="preserve"> потери и отходы материалов включаются в норму расхода.</w:t>
      </w:r>
    </w:p>
    <w:p w:rsidR="00EA6C9E" w:rsidRPr="00EA6C9E" w:rsidRDefault="00EA6C9E" w:rsidP="00EA6C9E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(5.7) При приготовлении и расходе бетонных и растворных смесей (VI группа) необходимо учитывать остатки смеси на дне и стенках средств перемещения</w:t>
      </w:r>
      <w:proofErr w:type="gramStart"/>
      <w:r w:rsidRPr="00EA6C9E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."</w:t>
      </w:r>
      <w:proofErr w:type="gramEnd"/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Приняв во внимание количество сре</w:t>
      </w:r>
      <w:proofErr w:type="gram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дств тр</w:t>
      </w:r>
      <w:proofErr w:type="gram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анспортировки / доставки/ перекачивания/ перемещения, следует учесть факт увеличения потерь и отходов, остающихся без возможности их использования, но требующих учета. В свою очередь данные потери будут достигать 1,5 - 3% от общего объема бетонной смеси, отгруженной производителем потребителю.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Также особое внимание следует уделять обеспечению точности геометрических размеров, в том числе прямолинейности. Допуски и погрешности в строительстве установлены в утвержденной нормативно-технической документации, действующей на территории РФ. Данные требования предъявляются и к опалубке (любого типа) и к проектируемым конструкциям.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Практика показывает, что пренебрежение учетом, вышеизложенных увеличивающих коэффициентов, при расчетах конструктивных объемов приводит, </w:t>
      </w:r>
      <w:proofErr w:type="gram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к</w:t>
      </w:r>
      <w:proofErr w:type="gram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proofErr w:type="gramStart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различного</w:t>
      </w:r>
      <w:proofErr w:type="gramEnd"/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рода, разногласиям между производителем и потребителем бетонных смесей.</w:t>
      </w:r>
    </w:p>
    <w:p w:rsidR="00EA6C9E" w:rsidRPr="00EA6C9E" w:rsidRDefault="00EA6C9E" w:rsidP="00EA6C9E">
      <w:pPr>
        <w:spacing w:before="450" w:after="525" w:line="375" w:lineRule="atLeast"/>
        <w:jc w:val="both"/>
        <w:rPr>
          <w:rFonts w:ascii="Arial" w:eastAsia="Times New Roman" w:hAnsi="Arial" w:cs="Arial"/>
          <w:color w:val="151515"/>
          <w:sz w:val="24"/>
          <w:szCs w:val="24"/>
        </w:rPr>
      </w:pPr>
      <w:r w:rsidRPr="00EA6C9E">
        <w:rPr>
          <w:rFonts w:ascii="Times New Roman" w:eastAsia="Times New Roman" w:hAnsi="Times New Roman" w:cs="Times New Roman"/>
          <w:color w:val="151515"/>
          <w:sz w:val="24"/>
          <w:szCs w:val="24"/>
        </w:rPr>
        <w:t>Производство строительных работ подлежит обязательному исполнению всех нормативных требований и обеспечению контроля качества, а отклонение от установленных регламентов, может обусловить инспекционные проверки технадзорных органов.</w:t>
      </w:r>
    </w:p>
    <w:p w:rsidR="00D92FCF" w:rsidRDefault="00D92FCF"/>
    <w:sectPr w:rsidR="00D92FCF" w:rsidSect="00EA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C9E"/>
    <w:rsid w:val="00D92FCF"/>
    <w:rsid w:val="00E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6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2020-07-23T08:21:00Z</dcterms:created>
  <dcterms:modified xsi:type="dcterms:W3CDTF">2020-07-23T08:25:00Z</dcterms:modified>
</cp:coreProperties>
</file>